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78C" w:rsidRPr="0069778C" w:rsidRDefault="0069778C" w:rsidP="0069778C">
      <w:pPr>
        <w:jc w:val="center"/>
        <w:rPr>
          <w:rFonts w:ascii="Times New Roman" w:eastAsia="Microsoft Sans Serif" w:hAnsi="Arial" w:cs="Microsoft Sans Serif"/>
          <w:sz w:val="20"/>
          <w:szCs w:val="20"/>
        </w:rPr>
      </w:pPr>
      <w:r w:rsidRPr="0069778C">
        <w:rPr>
          <w:rFonts w:ascii="Arial" w:eastAsia="Microsoft Sans Serif" w:hAnsi="Arial" w:cs="Microsoft Sans Serif"/>
          <w:noProof/>
          <w:sz w:val="20"/>
          <w:szCs w:val="20"/>
          <w:lang w:eastAsia="fr-FR"/>
        </w:rPr>
        <w:drawing>
          <wp:inline distT="0" distB="0" distL="0" distR="0" wp14:anchorId="2A89C55A" wp14:editId="0264E6DD">
            <wp:extent cx="2800350" cy="628650"/>
            <wp:effectExtent l="0" t="0" r="0" b="0"/>
            <wp:docPr id="4" name="Image 2" descr="C:\Users\TAVIGNOT-59086\Pictures\Logo\Nvo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age 2" descr="C:\Users\TAVIGNOT-59086\Pictures\Logo\Nvo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69778C" w:rsidRPr="0069778C" w:rsidRDefault="0069778C" w:rsidP="0069778C">
      <w:pPr>
        <w:spacing w:before="10"/>
        <w:rPr>
          <w:rFonts w:ascii="Times New Roman" w:eastAsia="Microsoft Sans Serif" w:hAnsi="Arial" w:cs="Microsoft Sans Serif"/>
          <w:sz w:val="29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lang w:eastAsia="fr-FR"/>
        </w:rPr>
      </w:pPr>
      <w:r w:rsidRPr="0069778C">
        <w:rPr>
          <w:rFonts w:ascii="Arial" w:eastAsia="Times New Roman" w:hAnsi="Arial" w:cs="Arial"/>
          <w:b/>
          <w:bCs/>
          <w:lang w:eastAsia="fr-FR"/>
        </w:rPr>
        <w:t>Marché N°</w:t>
      </w:r>
      <w:r w:rsidR="005C58C5">
        <w:rPr>
          <w:rFonts w:ascii="Arial" w:eastAsia="Times New Roman" w:hAnsi="Arial" w:cs="Arial"/>
          <w:b/>
          <w:bCs/>
          <w:lang w:eastAsia="fr-FR"/>
        </w:rPr>
        <w:t>002/2025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69778C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_______________________________________________________________________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5C58C5" w:rsidP="0069778C">
      <w:pPr>
        <w:keepNext/>
        <w:adjustRightInd w:val="0"/>
        <w:jc w:val="center"/>
        <w:rPr>
          <w:rFonts w:ascii="Arial" w:eastAsia="Times New Roman" w:hAnsi="Arial" w:cs="Arial"/>
          <w:b/>
          <w:bCs/>
          <w:lang w:eastAsia="fr-FR"/>
        </w:rPr>
      </w:pPr>
      <w:r w:rsidRPr="005C58C5">
        <w:rPr>
          <w:rFonts w:ascii="Arial" w:eastAsia="Arial" w:hAnsi="Arial" w:cs="Arial"/>
          <w:b/>
          <w:bCs/>
          <w:sz w:val="34"/>
          <w:szCs w:val="34"/>
        </w:rPr>
        <w:t>Mission d’AMO pour l’accompagnement à la passation d’un marché de maintenance, le contrôle et le suivi de l’entretien du parc d’ascenseurs des sites de l’UGECAM Alsace, l’accompagnement en cas de remplacements d’ascenseurs</w:t>
      </w:r>
      <w:r w:rsidR="0069778C" w:rsidRPr="0069778C">
        <w:rPr>
          <w:rFonts w:ascii="Arial" w:eastAsia="Times New Roman" w:hAnsi="Arial" w:cs="Arial"/>
          <w:b/>
          <w:bCs/>
          <w:lang w:eastAsia="fr-FR"/>
        </w:rPr>
        <w:t xml:space="preserve"> 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69778C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_______________________________________________________________________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8"/>
        <w:rPr>
          <w:rFonts w:ascii="Arial" w:eastAsia="Microsoft Sans Serif" w:hAnsi="Arial" w:cs="Microsoft Sans Serif"/>
          <w:sz w:val="16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widowControl/>
        <w:autoSpaceDE/>
        <w:autoSpaceDN/>
        <w:spacing w:before="214" w:after="200" w:line="276" w:lineRule="auto"/>
        <w:ind w:right="1032"/>
        <w:jc w:val="center"/>
        <w:rPr>
          <w:rFonts w:ascii="Calibri" w:eastAsia="Calibri" w:hAnsi="Calibri" w:cs="Times New Roman"/>
          <w:b/>
          <w:sz w:val="36"/>
        </w:rPr>
      </w:pPr>
      <w:r w:rsidRPr="0069778C">
        <w:rPr>
          <w:rFonts w:ascii="Calibri" w:eastAsia="Calibri" w:hAnsi="Calibri" w:cs="Times New Roman"/>
          <w:b/>
          <w:sz w:val="36"/>
        </w:rPr>
        <w:t xml:space="preserve">ANNEXE </w:t>
      </w:r>
      <w:r w:rsidR="00222FC9">
        <w:rPr>
          <w:rFonts w:ascii="Calibri" w:eastAsia="Calibri" w:hAnsi="Calibri" w:cs="Times New Roman"/>
          <w:b/>
          <w:sz w:val="36"/>
        </w:rPr>
        <w:t>2</w:t>
      </w:r>
      <w:r w:rsidRPr="0069778C">
        <w:rPr>
          <w:rFonts w:ascii="Calibri" w:eastAsia="Calibri" w:hAnsi="Calibri" w:cs="Times New Roman"/>
          <w:b/>
          <w:sz w:val="36"/>
        </w:rPr>
        <w:t xml:space="preserve"> – </w:t>
      </w:r>
      <w:r>
        <w:rPr>
          <w:rFonts w:ascii="Calibri" w:eastAsia="Calibri" w:hAnsi="Calibri" w:cs="Times New Roman"/>
          <w:b/>
          <w:sz w:val="36"/>
        </w:rPr>
        <w:t>ACTE D’ENGAGEMENT</w:t>
      </w:r>
    </w:p>
    <w:p w:rsidR="00CD6DD3" w:rsidRDefault="00FE61B5">
      <w:pPr>
        <w:pStyle w:val="Titre"/>
      </w:pPr>
      <w:r>
        <w:t>Cadre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réponse</w:t>
      </w:r>
      <w:r>
        <w:rPr>
          <w:spacing w:val="5"/>
        </w:rPr>
        <w:t xml:space="preserve"> </w:t>
      </w:r>
      <w:r>
        <w:t>technique</w:t>
      </w:r>
    </w:p>
    <w:p w:rsidR="00CD6DD3" w:rsidRDefault="00CD6DD3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10813"/>
      </w:tblGrid>
      <w:tr w:rsidR="00CD6DD3" w:rsidTr="0069778C">
        <w:trPr>
          <w:trHeight w:val="598"/>
        </w:trPr>
        <w:tc>
          <w:tcPr>
            <w:tcW w:w="10813" w:type="dxa"/>
            <w:shd w:val="clear" w:color="auto" w:fill="001F5F"/>
          </w:tcPr>
          <w:p w:rsidR="00CD6DD3" w:rsidRDefault="00FE61B5">
            <w:pPr>
              <w:pStyle w:val="TableParagraph"/>
              <w:tabs>
                <w:tab w:val="left" w:pos="1820"/>
                <w:tab w:val="left" w:pos="10685"/>
              </w:tabs>
              <w:spacing w:line="367" w:lineRule="exact"/>
              <w:ind w:left="130"/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ab/>
              <w:t>Note explicative</w:t>
            </w:r>
            <w:r>
              <w:rPr>
                <w:rFonts w:ascii="Calibri" w:hAnsi="Calibri"/>
                <w:b/>
                <w:color w:val="FFFFFF"/>
                <w:spacing w:val="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du cadre</w:t>
            </w:r>
            <w:r>
              <w:rPr>
                <w:rFonts w:ascii="Calibri" w:hAnsi="Calibri"/>
                <w:b/>
                <w:color w:val="FFFFFF"/>
                <w:spacing w:val="-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de réponse</w:t>
            </w:r>
            <w:r>
              <w:rPr>
                <w:rFonts w:ascii="Calibri" w:hAnsi="Calibri"/>
                <w:b/>
                <w:color w:val="FFFFFF"/>
                <w:spacing w:val="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technique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ab/>
            </w:r>
          </w:p>
        </w:tc>
      </w:tr>
      <w:tr w:rsidR="00FE61B5" w:rsidTr="0069778C">
        <w:trPr>
          <w:trHeight w:val="2564"/>
        </w:trPr>
        <w:tc>
          <w:tcPr>
            <w:tcW w:w="10813" w:type="dxa"/>
          </w:tcPr>
          <w:p w:rsidR="00FE61B5" w:rsidRDefault="00FE61B5" w:rsidP="00FE61B5">
            <w:pPr>
              <w:pStyle w:val="TableParagraph"/>
              <w:spacing w:line="286" w:lineRule="exact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cadre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réponse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être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dûment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rempli,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il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ne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conférer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aucune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référence.</w:t>
            </w:r>
          </w:p>
          <w:p w:rsidR="00FE61B5" w:rsidRDefault="00FE61B5" w:rsidP="00FE61B5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cadre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mémoire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technique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sert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l’analyse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offres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entreprises.</w:t>
            </w:r>
          </w:p>
          <w:p w:rsidR="00FE61B5" w:rsidRDefault="00FE61B5" w:rsidP="00FE61B5">
            <w:pPr>
              <w:pStyle w:val="TableParagraph"/>
              <w:rPr>
                <w:b/>
                <w:sz w:val="28"/>
              </w:rPr>
            </w:pPr>
          </w:p>
          <w:p w:rsidR="00FE61B5" w:rsidRDefault="00FE61B5" w:rsidP="00FE61B5">
            <w:pPr>
              <w:pStyle w:val="TableParagraph"/>
              <w:ind w:left="200" w:right="201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candidat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est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invité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compléter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façon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précise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différentes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zones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réponse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permettant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jugement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offres.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soumissionnaire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respecter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strictement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l'organisation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imposée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par le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présent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document.</w:t>
            </w:r>
          </w:p>
          <w:p w:rsidR="00FE61B5" w:rsidRDefault="00FE61B5" w:rsidP="00FE61B5">
            <w:pPr>
              <w:pStyle w:val="TableParagraph"/>
              <w:spacing w:before="9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spacing w:before="1"/>
              <w:ind w:left="200" w:right="201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 informations figurant dans ce document seront les seules sources utilisées pour établir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notes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d’attributions.</w:t>
            </w:r>
          </w:p>
          <w:p w:rsidR="00FE61B5" w:rsidRDefault="00FE61B5" w:rsidP="00FE61B5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ind w:left="200" w:right="198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 informations qu’il contient sont réputées engager l’entreprise sur la mise en œuvre 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la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prestation.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soumissionnaire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décrira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chaque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conformément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aux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dispositions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du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CCTP.</w:t>
            </w:r>
          </w:p>
          <w:p w:rsidR="00FE61B5" w:rsidRDefault="00FE61B5" w:rsidP="00FE61B5">
            <w:pPr>
              <w:pStyle w:val="TableParagraph"/>
              <w:spacing w:before="9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spacing w:line="341" w:lineRule="exact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sous-critères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techniques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seront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principalement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évalués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partir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CRT.</w:t>
            </w:r>
          </w:p>
          <w:p w:rsidR="00FE61B5" w:rsidRDefault="00FE61B5" w:rsidP="00FE61B5">
            <w:pPr>
              <w:pStyle w:val="TableParagraph"/>
              <w:ind w:left="200" w:right="199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 CRT liste les principales informations à transmettre pour l’évaluation de chacun des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sous-critères techniques ainsi que les performances ou exigences à atteindre, qui ont été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déclinées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dans le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CCTP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et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ses annexes.</w:t>
            </w:r>
          </w:p>
        </w:tc>
      </w:tr>
      <w:tr w:rsidR="00FE61B5" w:rsidTr="005C7C6A">
        <w:trPr>
          <w:trHeight w:val="1844"/>
        </w:trPr>
        <w:tc>
          <w:tcPr>
            <w:tcW w:w="10813" w:type="dxa"/>
          </w:tcPr>
          <w:p w:rsidR="00FE61B5" w:rsidRDefault="00FE61B5" w:rsidP="00FE61B5">
            <w:pPr>
              <w:pStyle w:val="TableParagraph"/>
              <w:spacing w:before="144"/>
              <w:ind w:left="200" w:right="198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Le soumissionnaire, s'il le souhaite, peut apporter toute précision complémentaire qu'il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juge nécessaire à la compréhension de son offre en complétant les décompositions de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chaque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rubrique sous réserve</w:t>
            </w:r>
            <w:r>
              <w:rPr>
                <w:rFonts w:ascii="Calibri" w:hAnsi="Calibri"/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de les identifier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(par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couleur par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exemple).</w:t>
            </w:r>
          </w:p>
          <w:p w:rsidR="00FE61B5" w:rsidRDefault="00FE61B5" w:rsidP="00FE61B5">
            <w:pPr>
              <w:pStyle w:val="TableParagraph"/>
              <w:spacing w:line="338" w:lineRule="exact"/>
              <w:ind w:left="200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Le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cadre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de</w:t>
            </w:r>
            <w:r>
              <w:rPr>
                <w:rFonts w:ascii="Calibri" w:hAnsi="Calibri"/>
                <w:b/>
                <w:color w:val="FF0000"/>
                <w:spacing w:val="22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réponse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doit</w:t>
            </w:r>
            <w:r>
              <w:rPr>
                <w:rFonts w:ascii="Calibri" w:hAnsi="Calibri"/>
                <w:b/>
                <w:color w:val="FF0000"/>
                <w:spacing w:val="21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être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dûment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rempli,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il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ne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doit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conférer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à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aucune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référence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du</w:t>
            </w:r>
          </w:p>
          <w:p w:rsidR="00FE61B5" w:rsidRDefault="00FE61B5" w:rsidP="00FE61B5">
            <w:pPr>
              <w:pStyle w:val="TableParagraph"/>
              <w:spacing w:line="316" w:lineRule="exact"/>
              <w:ind w:left="200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mémoire technique.</w:t>
            </w:r>
          </w:p>
        </w:tc>
      </w:tr>
    </w:tbl>
    <w:p w:rsidR="00CD6DD3" w:rsidRDefault="00CD6DD3">
      <w:pPr>
        <w:spacing w:line="315" w:lineRule="exact"/>
        <w:rPr>
          <w:rFonts w:ascii="Calibri" w:hAnsi="Calibri"/>
          <w:sz w:val="28"/>
        </w:rPr>
        <w:sectPr w:rsidR="00CD6DD3">
          <w:type w:val="continuous"/>
          <w:pgSz w:w="11910" w:h="16840"/>
          <w:pgMar w:top="1320" w:right="120" w:bottom="280" w:left="360" w:header="720" w:footer="720" w:gutter="0"/>
          <w:cols w:space="720"/>
        </w:sectPr>
      </w:pPr>
    </w:p>
    <w:p w:rsidR="00CD6DD3" w:rsidRDefault="00CD6DD3">
      <w:pPr>
        <w:spacing w:before="10"/>
        <w:rPr>
          <w:b/>
          <w:sz w:val="17"/>
        </w:rPr>
      </w:pPr>
    </w:p>
    <w:p w:rsidR="00CD6DD3" w:rsidRDefault="00CD6DD3">
      <w:pPr>
        <w:spacing w:before="1"/>
        <w:rPr>
          <w:b/>
          <w:sz w:val="3"/>
        </w:rPr>
      </w:pPr>
    </w:p>
    <w:tbl>
      <w:tblPr>
        <w:tblStyle w:val="TableNormal"/>
        <w:tblW w:w="0" w:type="auto"/>
        <w:tblInd w:w="3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6"/>
        <w:gridCol w:w="5732"/>
      </w:tblGrid>
      <w:tr w:rsidR="00CD6DD3">
        <w:trPr>
          <w:trHeight w:val="822"/>
        </w:trPr>
        <w:tc>
          <w:tcPr>
            <w:tcW w:w="5186" w:type="dxa"/>
          </w:tcPr>
          <w:p w:rsidR="00CD6DD3" w:rsidRDefault="00CD6D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CD6DD3" w:rsidRDefault="00FE61B5">
            <w:pPr>
              <w:pStyle w:val="TableParagraph"/>
              <w:ind w:left="1833" w:right="19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Désignation</w:t>
            </w:r>
          </w:p>
        </w:tc>
        <w:tc>
          <w:tcPr>
            <w:tcW w:w="5732" w:type="dxa"/>
          </w:tcPr>
          <w:p w:rsidR="00CD6DD3" w:rsidRDefault="00FE61B5">
            <w:pPr>
              <w:pStyle w:val="TableParagraph"/>
              <w:spacing w:before="168" w:line="242" w:lineRule="exact"/>
              <w:ind w:left="823" w:right="9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Proposition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l’entreprise</w:t>
            </w:r>
          </w:p>
          <w:p w:rsidR="00CD6DD3" w:rsidRDefault="00FE61B5">
            <w:pPr>
              <w:pStyle w:val="TableParagraph"/>
              <w:spacing w:line="242" w:lineRule="exact"/>
              <w:ind w:left="826" w:right="93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(Champs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à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remplir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par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le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candidat)</w:t>
            </w:r>
          </w:p>
        </w:tc>
      </w:tr>
      <w:tr w:rsidR="00CD6DD3">
        <w:trPr>
          <w:trHeight w:val="1316"/>
        </w:trPr>
        <w:tc>
          <w:tcPr>
            <w:tcW w:w="5186" w:type="dxa"/>
          </w:tcPr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FE61B5">
            <w:pPr>
              <w:pStyle w:val="TableParagraph"/>
              <w:spacing w:before="172"/>
              <w:ind w:left="67" w:right="1644"/>
              <w:rPr>
                <w:sz w:val="18"/>
              </w:rPr>
            </w:pP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désigné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marché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(nom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 coordonnées)</w:t>
            </w:r>
          </w:p>
        </w:tc>
        <w:tc>
          <w:tcPr>
            <w:tcW w:w="5732" w:type="dxa"/>
          </w:tcPr>
          <w:p w:rsidR="00CD6DD3" w:rsidRDefault="00CD6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6DD3">
        <w:trPr>
          <w:trHeight w:val="963"/>
        </w:trPr>
        <w:tc>
          <w:tcPr>
            <w:tcW w:w="10918" w:type="dxa"/>
            <w:gridSpan w:val="2"/>
          </w:tcPr>
          <w:p w:rsidR="00CD6DD3" w:rsidRDefault="00CD6DD3">
            <w:pPr>
              <w:pStyle w:val="TableParagraph"/>
              <w:spacing w:before="7"/>
              <w:rPr>
                <w:b/>
                <w:sz w:val="29"/>
              </w:rPr>
            </w:pPr>
          </w:p>
          <w:p w:rsidR="00CD6DD3" w:rsidRDefault="00222FC9" w:rsidP="000D2956">
            <w:pPr>
              <w:pStyle w:val="TableParagraph"/>
              <w:ind w:left="67"/>
              <w:rPr>
                <w:b/>
                <w:sz w:val="20"/>
              </w:rPr>
            </w:pPr>
            <w:r w:rsidRPr="00222FC9">
              <w:rPr>
                <w:b/>
                <w:sz w:val="20"/>
              </w:rPr>
              <w:t xml:space="preserve">Méthodologie d’assistance et suivi employée </w:t>
            </w:r>
            <w:r>
              <w:rPr>
                <w:b/>
                <w:color w:val="FF0000"/>
                <w:sz w:val="20"/>
              </w:rPr>
              <w:t>5</w:t>
            </w:r>
            <w:r w:rsidR="000D2956">
              <w:rPr>
                <w:b/>
                <w:color w:val="FF0000"/>
                <w:sz w:val="20"/>
              </w:rPr>
              <w:t>5</w:t>
            </w:r>
            <w:r w:rsidR="00FE61B5">
              <w:rPr>
                <w:b/>
                <w:color w:val="FF0000"/>
                <w:spacing w:val="-9"/>
                <w:sz w:val="20"/>
              </w:rPr>
              <w:t xml:space="preserve"> </w:t>
            </w:r>
            <w:r w:rsidR="00FE61B5">
              <w:rPr>
                <w:b/>
                <w:color w:val="FF0000"/>
                <w:sz w:val="20"/>
              </w:rPr>
              <w:t>points</w:t>
            </w:r>
          </w:p>
        </w:tc>
      </w:tr>
      <w:tr w:rsidR="00CD6DD3">
        <w:trPr>
          <w:trHeight w:val="702"/>
        </w:trPr>
        <w:tc>
          <w:tcPr>
            <w:tcW w:w="10918" w:type="dxa"/>
            <w:gridSpan w:val="2"/>
          </w:tcPr>
          <w:p w:rsidR="00CD6DD3" w:rsidRDefault="00FE61B5">
            <w:pPr>
              <w:pStyle w:val="TableParagraph"/>
              <w:spacing w:before="2" w:line="237" w:lineRule="auto"/>
              <w:ind w:left="41"/>
              <w:rPr>
                <w:b/>
                <w:sz w:val="20"/>
              </w:rPr>
            </w:pPr>
            <w:r>
              <w:rPr>
                <w:sz w:val="20"/>
              </w:rPr>
              <w:t>L’organisation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l’entreprise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d’adopter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l’exécution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chacune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différentes</w:t>
            </w:r>
            <w:r>
              <w:rPr>
                <w:b/>
                <w:spacing w:val="-66"/>
                <w:sz w:val="20"/>
              </w:rPr>
              <w:t xml:space="preserve"> </w:t>
            </w:r>
            <w:r>
              <w:rPr>
                <w:b/>
                <w:sz w:val="20"/>
              </w:rPr>
              <w:t>natures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prestations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marché</w:t>
            </w:r>
          </w:p>
        </w:tc>
      </w:tr>
      <w:tr w:rsidR="00CD6DD3">
        <w:trPr>
          <w:trHeight w:val="9155"/>
        </w:trPr>
        <w:tc>
          <w:tcPr>
            <w:tcW w:w="5186" w:type="dxa"/>
            <w:tcBorders>
              <w:right w:val="single" w:sz="4" w:space="0" w:color="000000"/>
            </w:tcBorders>
          </w:tcPr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0D2956" w:rsidRPr="000D2956" w:rsidRDefault="000D2956" w:rsidP="000D2956">
            <w:pPr>
              <w:pStyle w:val="TableParagraph"/>
              <w:ind w:left="69" w:right="50"/>
              <w:jc w:val="both"/>
              <w:rPr>
                <w:b/>
                <w:sz w:val="18"/>
                <w:u w:val="single"/>
              </w:rPr>
            </w:pPr>
            <w:r w:rsidRPr="000D2956">
              <w:rPr>
                <w:b/>
                <w:sz w:val="18"/>
                <w:u w:val="single"/>
              </w:rPr>
              <w:t>Sous-critère 1 :</w:t>
            </w:r>
            <w:r w:rsidRPr="000D2956">
              <w:rPr>
                <w:b/>
                <w:u w:val="single"/>
              </w:rPr>
              <w:t xml:space="preserve"> </w:t>
            </w:r>
            <w:r w:rsidRPr="000D2956">
              <w:rPr>
                <w:b/>
                <w:sz w:val="18"/>
                <w:u w:val="single"/>
              </w:rPr>
              <w:t>Qualifications et expériences du personnel chargé du suivi du marché</w:t>
            </w:r>
            <w:r>
              <w:rPr>
                <w:b/>
                <w:sz w:val="18"/>
                <w:u w:val="single"/>
              </w:rPr>
              <w:t xml:space="preserve"> – 20 points</w:t>
            </w:r>
          </w:p>
          <w:p w:rsidR="00254027" w:rsidRPr="000D2956" w:rsidRDefault="000D2956" w:rsidP="000D2956">
            <w:pPr>
              <w:pStyle w:val="TableParagraph"/>
              <w:numPr>
                <w:ilvl w:val="0"/>
                <w:numId w:val="4"/>
              </w:numPr>
              <w:rPr>
                <w:b/>
              </w:rPr>
            </w:pPr>
            <w:r w:rsidRPr="00222FC9">
              <w:rPr>
                <w:sz w:val="18"/>
              </w:rPr>
              <w:t>Qualification des intervenants pour la réalisation des prestations du marché : nombre</w:t>
            </w:r>
            <w:r>
              <w:rPr>
                <w:sz w:val="18"/>
              </w:rPr>
              <w:t xml:space="preserve"> </w:t>
            </w:r>
            <w:r w:rsidRPr="00222FC9">
              <w:rPr>
                <w:sz w:val="18"/>
              </w:rPr>
              <w:t>d’années d’expérience dans la fonction, références individuelles et CV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anonymisé</w:t>
            </w:r>
            <w:proofErr w:type="spellEnd"/>
            <w:r w:rsidRPr="00222FC9">
              <w:rPr>
                <w:sz w:val="18"/>
              </w:rPr>
              <w:t xml:space="preserve"> de chaque</w:t>
            </w:r>
            <w:r>
              <w:rPr>
                <w:sz w:val="18"/>
              </w:rPr>
              <w:t xml:space="preserve"> </w:t>
            </w:r>
            <w:r w:rsidRPr="00222FC9">
              <w:rPr>
                <w:sz w:val="18"/>
              </w:rPr>
              <w:t>intervenant</w:t>
            </w:r>
          </w:p>
          <w:p w:rsidR="000D2956" w:rsidRDefault="000D2956" w:rsidP="000D2956">
            <w:pPr>
              <w:pStyle w:val="Table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rFonts w:ascii="Calibri" w:eastAsiaTheme="minorHAnsi" w:hAnsi="Calibri" w:cs="Calibri"/>
              </w:rPr>
              <w:t>Formations au sein de l'entreprise et notamment l’organigramme détaillé de l’équipe dédiée au marché</w:t>
            </w:r>
          </w:p>
          <w:p w:rsidR="00254027" w:rsidRDefault="00254027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spacing w:line="218" w:lineRule="exact"/>
              <w:ind w:left="67"/>
              <w:jc w:val="both"/>
              <w:rPr>
                <w:b/>
                <w:sz w:val="18"/>
              </w:rPr>
            </w:pPr>
          </w:p>
        </w:tc>
        <w:tc>
          <w:tcPr>
            <w:tcW w:w="5732" w:type="dxa"/>
            <w:tcBorders>
              <w:left w:val="single" w:sz="4" w:space="0" w:color="000000"/>
            </w:tcBorders>
          </w:tcPr>
          <w:p w:rsidR="00CD6DD3" w:rsidRDefault="00CD6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A443C" w:rsidRDefault="00DA443C">
      <w:pPr>
        <w:rPr>
          <w:rFonts w:ascii="Times New Roman"/>
          <w:sz w:val="18"/>
        </w:rPr>
      </w:pPr>
    </w:p>
    <w:p w:rsidR="00DA443C" w:rsidRPr="00DA443C" w:rsidRDefault="00DA443C" w:rsidP="00DA443C">
      <w:pPr>
        <w:rPr>
          <w:rFonts w:ascii="Times New Roman"/>
          <w:sz w:val="18"/>
        </w:rPr>
      </w:pPr>
    </w:p>
    <w:p w:rsidR="00DA443C" w:rsidRDefault="00DA443C" w:rsidP="00DA443C">
      <w:pPr>
        <w:rPr>
          <w:rFonts w:ascii="Times New Roman"/>
          <w:sz w:val="18"/>
        </w:rPr>
      </w:pPr>
    </w:p>
    <w:tbl>
      <w:tblPr>
        <w:tblStyle w:val="TableNormal"/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7"/>
        <w:gridCol w:w="5732"/>
      </w:tblGrid>
      <w:tr w:rsidR="00CD6DD3">
        <w:trPr>
          <w:trHeight w:val="13944"/>
        </w:trPr>
        <w:tc>
          <w:tcPr>
            <w:tcW w:w="5187" w:type="dxa"/>
            <w:tcBorders>
              <w:right w:val="single" w:sz="4" w:space="0" w:color="000000"/>
            </w:tcBorders>
          </w:tcPr>
          <w:p w:rsidR="00CD6DD3" w:rsidRDefault="00DA443C">
            <w:pPr>
              <w:pStyle w:val="TableParagraph"/>
              <w:rPr>
                <w:b/>
              </w:rPr>
            </w:pPr>
            <w:r>
              <w:rPr>
                <w:rFonts w:ascii="Times New Roman"/>
                <w:sz w:val="18"/>
              </w:rPr>
              <w:lastRenderedPageBreak/>
              <w:tab/>
            </w: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0D2956" w:rsidRDefault="000D2956">
            <w:pPr>
              <w:pStyle w:val="TableParagraph"/>
              <w:rPr>
                <w:sz w:val="18"/>
              </w:rPr>
            </w:pPr>
            <w:r w:rsidRPr="000D2956">
              <w:rPr>
                <w:b/>
                <w:sz w:val="18"/>
                <w:u w:val="single"/>
              </w:rPr>
              <w:t>Sous critère 2 : Organisation et méthodologie de réalisation de chaque missi</w:t>
            </w:r>
            <w:r>
              <w:rPr>
                <w:b/>
                <w:sz w:val="18"/>
                <w:u w:val="single"/>
              </w:rPr>
              <w:t xml:space="preserve">on </w:t>
            </w:r>
            <w:r w:rsidRPr="000D2956">
              <w:rPr>
                <w:b/>
                <w:sz w:val="18"/>
                <w:u w:val="single"/>
              </w:rPr>
              <w:t>– 20 points</w:t>
            </w:r>
            <w:r>
              <w:rPr>
                <w:sz w:val="18"/>
              </w:rPr>
              <w:t>:</w:t>
            </w:r>
          </w:p>
          <w:p w:rsidR="00CD6DD3" w:rsidRPr="000D2956" w:rsidRDefault="000D2956" w:rsidP="000D2956">
            <w:pPr>
              <w:pStyle w:val="Table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sz w:val="18"/>
              </w:rPr>
              <w:t>E</w:t>
            </w:r>
            <w:r w:rsidRPr="00222FC9">
              <w:rPr>
                <w:sz w:val="18"/>
              </w:rPr>
              <w:t>ffectif dédié en équivalent temps plein et nombres d’heures</w:t>
            </w:r>
          </w:p>
          <w:p w:rsidR="000D2956" w:rsidRPr="000D2956" w:rsidRDefault="000D2956" w:rsidP="000D2956">
            <w:pPr>
              <w:pStyle w:val="Table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sz w:val="18"/>
              </w:rPr>
              <w:t>M</w:t>
            </w:r>
            <w:r w:rsidRPr="00222FC9">
              <w:rPr>
                <w:sz w:val="18"/>
              </w:rPr>
              <w:t>odèle</w:t>
            </w:r>
            <w:r>
              <w:rPr>
                <w:sz w:val="18"/>
              </w:rPr>
              <w:t>s</w:t>
            </w:r>
            <w:r w:rsidRPr="00222FC9">
              <w:rPr>
                <w:sz w:val="18"/>
              </w:rPr>
              <w:t xml:space="preserve"> de rapport type du contrôle de l’entretien d’une installation d’ascenseur</w:t>
            </w:r>
          </w:p>
          <w:p w:rsidR="000D2956" w:rsidRPr="000D2956" w:rsidRDefault="000D2956" w:rsidP="000D2956">
            <w:pPr>
              <w:pStyle w:val="Table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sz w:val="18"/>
              </w:rPr>
              <w:t>Modèle de cahier des charges (maintenance des ascenseurs et remplacement des ascenseurs)</w:t>
            </w:r>
          </w:p>
          <w:p w:rsidR="000D2956" w:rsidRDefault="000D2956" w:rsidP="000D2956">
            <w:pPr>
              <w:pStyle w:val="TableParagraph"/>
              <w:ind w:left="720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 w:rsidP="00222FC9">
            <w:pPr>
              <w:pStyle w:val="TableParagraph"/>
              <w:ind w:left="69" w:right="50"/>
              <w:jc w:val="both"/>
              <w:rPr>
                <w:b/>
                <w:sz w:val="18"/>
              </w:rPr>
            </w:pPr>
          </w:p>
        </w:tc>
        <w:tc>
          <w:tcPr>
            <w:tcW w:w="5732" w:type="dxa"/>
            <w:tcBorders>
              <w:left w:val="single" w:sz="4" w:space="0" w:color="000000"/>
            </w:tcBorders>
          </w:tcPr>
          <w:p w:rsidR="00CD6DD3" w:rsidRDefault="00CD6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D6DD3" w:rsidRDefault="00CD6DD3">
      <w:pPr>
        <w:rPr>
          <w:rFonts w:ascii="Times New Roman"/>
          <w:sz w:val="16"/>
        </w:rPr>
        <w:sectPr w:rsidR="00CD6DD3">
          <w:footerReference w:type="default" r:id="rId8"/>
          <w:pgSz w:w="11910" w:h="16840"/>
          <w:pgMar w:top="1400" w:right="120" w:bottom="1040" w:left="360" w:header="0" w:footer="762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7"/>
        <w:gridCol w:w="5732"/>
      </w:tblGrid>
      <w:tr w:rsidR="00CD6DD3" w:rsidTr="00222FC9">
        <w:trPr>
          <w:trHeight w:val="7481"/>
        </w:trPr>
        <w:tc>
          <w:tcPr>
            <w:tcW w:w="5187" w:type="dxa"/>
            <w:vAlign w:val="center"/>
          </w:tcPr>
          <w:p w:rsidR="000D2956" w:rsidRDefault="000D2956" w:rsidP="000D2956">
            <w:pPr>
              <w:widowControl/>
              <w:adjustRightInd w:val="0"/>
              <w:rPr>
                <w:b/>
                <w:sz w:val="18"/>
                <w:u w:val="single"/>
              </w:rPr>
            </w:pPr>
          </w:p>
          <w:p w:rsidR="000D2956" w:rsidRDefault="000D2956" w:rsidP="000D2956">
            <w:pPr>
              <w:widowControl/>
              <w:adjustRightInd w:val="0"/>
              <w:rPr>
                <w:b/>
                <w:sz w:val="18"/>
                <w:u w:val="single"/>
              </w:rPr>
            </w:pPr>
          </w:p>
          <w:p w:rsidR="000D2956" w:rsidRDefault="000D2956" w:rsidP="000D2956">
            <w:pPr>
              <w:widowControl/>
              <w:adjustRightInd w:val="0"/>
              <w:rPr>
                <w:b/>
                <w:sz w:val="18"/>
                <w:u w:val="single"/>
              </w:rPr>
            </w:pPr>
          </w:p>
          <w:p w:rsidR="00CD6DD3" w:rsidRDefault="000D2956" w:rsidP="000D2956">
            <w:pPr>
              <w:widowControl/>
              <w:adjustRightInd w:val="0"/>
              <w:rPr>
                <w:b/>
                <w:sz w:val="18"/>
                <w:u w:val="single"/>
              </w:rPr>
            </w:pPr>
            <w:r w:rsidRPr="000D2956">
              <w:rPr>
                <w:b/>
                <w:sz w:val="18"/>
                <w:u w:val="single"/>
              </w:rPr>
              <w:t>Sous critère 3 : Délais d’exécution des missions et de remise des livrables</w:t>
            </w:r>
            <w:r>
              <w:rPr>
                <w:b/>
                <w:sz w:val="18"/>
                <w:u w:val="single"/>
              </w:rPr>
              <w:t xml:space="preserve"> – 15 points</w:t>
            </w:r>
            <w:bookmarkStart w:id="0" w:name="_GoBack"/>
            <w:bookmarkEnd w:id="0"/>
          </w:p>
          <w:p w:rsid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de remise d’un cahier des charges pour la maintenance des ascenseurs à partir de la commande</w:t>
            </w:r>
          </w:p>
          <w:p w:rsid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de remise de l’analyse des offres de la maintenance des ascenseurs à partir de la remise des offres reçues</w:t>
            </w:r>
          </w:p>
          <w:p w:rsid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pour le suivi de la maintenance des ascenseurs</w:t>
            </w:r>
          </w:p>
          <w:p w:rsid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d’analyse des devis de réparation proposés par le mainteneur</w:t>
            </w:r>
          </w:p>
          <w:p w:rsid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pour la remise d’un cahier des charges de remplacement d’un ascenseur à partir de la commande</w:t>
            </w:r>
          </w:p>
          <w:p w:rsidR="000D2956" w:rsidRPr="000D2956" w:rsidRDefault="000D2956" w:rsidP="000D2956">
            <w:pPr>
              <w:pStyle w:val="Paragraphedeliste"/>
              <w:widowControl/>
              <w:numPr>
                <w:ilvl w:val="0"/>
                <w:numId w:val="3"/>
              </w:numPr>
              <w:adjustRightInd w:val="0"/>
              <w:rPr>
                <w:sz w:val="18"/>
              </w:rPr>
            </w:pPr>
            <w:r>
              <w:rPr>
                <w:sz w:val="18"/>
              </w:rPr>
              <w:t>Délai pour la remise de l’analyse des offres de remplacement d’un ascenseur à partir de la transmission des offres</w:t>
            </w:r>
          </w:p>
        </w:tc>
        <w:tc>
          <w:tcPr>
            <w:tcW w:w="5732" w:type="dxa"/>
            <w:vAlign w:val="center"/>
          </w:tcPr>
          <w:p w:rsidR="00CD6DD3" w:rsidRDefault="00CD6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E61B5" w:rsidRDefault="00FE61B5">
      <w:pPr>
        <w:spacing w:before="100" w:line="219" w:lineRule="exact"/>
        <w:ind w:left="1058"/>
        <w:rPr>
          <w:sz w:val="18"/>
        </w:rPr>
      </w:pPr>
    </w:p>
    <w:p w:rsidR="00CD6DD3" w:rsidRDefault="00FE61B5">
      <w:pPr>
        <w:spacing w:before="100" w:line="219" w:lineRule="exact"/>
        <w:ind w:left="1058"/>
        <w:rPr>
          <w:sz w:val="18"/>
        </w:rPr>
      </w:pPr>
      <w:r>
        <w:rPr>
          <w:sz w:val="18"/>
        </w:rPr>
        <w:t>Date</w:t>
      </w:r>
    </w:p>
    <w:p w:rsidR="00FE61B5" w:rsidRDefault="00FE61B5">
      <w:pPr>
        <w:spacing w:before="100" w:line="219" w:lineRule="exact"/>
        <w:ind w:left="1058"/>
        <w:rPr>
          <w:sz w:val="18"/>
        </w:rPr>
      </w:pPr>
    </w:p>
    <w:p w:rsidR="00FE61B5" w:rsidRDefault="00FE61B5">
      <w:pPr>
        <w:ind w:left="1058" w:right="7385"/>
        <w:rPr>
          <w:spacing w:val="-61"/>
          <w:sz w:val="18"/>
        </w:rPr>
      </w:pPr>
      <w:r>
        <w:rPr>
          <w:sz w:val="18"/>
        </w:rPr>
        <w:t>Signature et cachet de la société</w:t>
      </w:r>
      <w:r>
        <w:rPr>
          <w:spacing w:val="-61"/>
          <w:sz w:val="18"/>
        </w:rPr>
        <w:t xml:space="preserve"> </w:t>
      </w:r>
    </w:p>
    <w:p w:rsidR="00FE61B5" w:rsidRDefault="00FE61B5">
      <w:pPr>
        <w:ind w:left="1058" w:right="7385"/>
        <w:rPr>
          <w:spacing w:val="-61"/>
          <w:sz w:val="18"/>
        </w:rPr>
      </w:pPr>
    </w:p>
    <w:sectPr w:rsidR="00FE61B5">
      <w:pgSz w:w="11910" w:h="16840"/>
      <w:pgMar w:top="1400" w:right="120" w:bottom="1040" w:left="360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2F" w:rsidRDefault="00FE61B5">
      <w:r>
        <w:separator/>
      </w:r>
    </w:p>
  </w:endnote>
  <w:endnote w:type="continuationSeparator" w:id="0">
    <w:p w:rsidR="00A23F2F" w:rsidRDefault="00FE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0019133"/>
      <w:docPartObj>
        <w:docPartGallery w:val="Page Numbers (Bottom of Page)"/>
        <w:docPartUnique/>
      </w:docPartObj>
    </w:sdtPr>
    <w:sdtEndPr/>
    <w:sdtContent>
      <w:p w:rsidR="00222FC9" w:rsidRDefault="00222FC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956">
          <w:rPr>
            <w:noProof/>
          </w:rPr>
          <w:t>5</w:t>
        </w:r>
        <w:r>
          <w:fldChar w:fldCharType="end"/>
        </w:r>
      </w:p>
    </w:sdtContent>
  </w:sdt>
  <w:p w:rsidR="00CD6DD3" w:rsidRDefault="00CD6DD3">
    <w:pPr>
      <w:pStyle w:val="Corpsdetex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2F" w:rsidRDefault="00FE61B5">
      <w:r>
        <w:separator/>
      </w:r>
    </w:p>
  </w:footnote>
  <w:footnote w:type="continuationSeparator" w:id="0">
    <w:p w:rsidR="00A23F2F" w:rsidRDefault="00FE6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F2F12"/>
    <w:multiLevelType w:val="hybridMultilevel"/>
    <w:tmpl w:val="15B65032"/>
    <w:lvl w:ilvl="0" w:tplc="E25CA8BE">
      <w:start w:val="18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3A96"/>
    <w:multiLevelType w:val="hybridMultilevel"/>
    <w:tmpl w:val="DBA8770E"/>
    <w:lvl w:ilvl="0" w:tplc="C1B01CD0">
      <w:start w:val="18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35AFE"/>
    <w:multiLevelType w:val="hybridMultilevel"/>
    <w:tmpl w:val="4DB483AE"/>
    <w:lvl w:ilvl="0" w:tplc="97ECBE0C">
      <w:numFmt w:val="bullet"/>
      <w:lvlText w:val="-"/>
      <w:lvlJc w:val="left"/>
      <w:pPr>
        <w:ind w:left="429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3" w15:restartNumberingAfterBreak="0">
    <w:nsid w:val="4DC3786F"/>
    <w:multiLevelType w:val="hybridMultilevel"/>
    <w:tmpl w:val="534E6836"/>
    <w:lvl w:ilvl="0" w:tplc="385A1F4E">
      <w:start w:val="18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D3"/>
    <w:rsid w:val="000D2956"/>
    <w:rsid w:val="00222FC9"/>
    <w:rsid w:val="00254027"/>
    <w:rsid w:val="003D2F64"/>
    <w:rsid w:val="005C58C5"/>
    <w:rsid w:val="0069778C"/>
    <w:rsid w:val="0097173B"/>
    <w:rsid w:val="00A23F2F"/>
    <w:rsid w:val="00B525F3"/>
    <w:rsid w:val="00CD6DD3"/>
    <w:rsid w:val="00DA443C"/>
    <w:rsid w:val="00DC504B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BF685F"/>
  <w15:docId w15:val="{D74B98FF-BD4B-424D-B9A3-64BCDC3A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 w:cs="Calibri"/>
      <w:b/>
      <w:bCs/>
      <w:sz w:val="36"/>
      <w:szCs w:val="36"/>
    </w:rPr>
  </w:style>
  <w:style w:type="paragraph" w:styleId="Titre">
    <w:name w:val="Title"/>
    <w:basedOn w:val="Normal"/>
    <w:uiPriority w:val="1"/>
    <w:qFormat/>
    <w:pPr>
      <w:ind w:left="1874" w:right="2392"/>
      <w:jc w:val="center"/>
    </w:pPr>
    <w:rPr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E61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61B5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E61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61B5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Cnam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AGYSOFT</dc:creator>
  <cp:lastModifiedBy>BIDON BERTRAND (UGECAM ALSACE)</cp:lastModifiedBy>
  <cp:revision>9</cp:revision>
  <dcterms:created xsi:type="dcterms:W3CDTF">2024-07-25T09:09:00Z</dcterms:created>
  <dcterms:modified xsi:type="dcterms:W3CDTF">2025-02-12T09:13:00Z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